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08" w:type="dxa"/>
        <w:tblLook w:val="04A0"/>
      </w:tblPr>
      <w:tblGrid>
        <w:gridCol w:w="2977"/>
        <w:gridCol w:w="2693"/>
        <w:gridCol w:w="3434"/>
      </w:tblGrid>
      <w:tr w:rsidR="006C57E9" w:rsidRPr="00FD014D" w:rsidTr="00504C50">
        <w:trPr>
          <w:cantSplit/>
          <w:tblHeader/>
        </w:trPr>
        <w:tc>
          <w:tcPr>
            <w:tcW w:w="2977" w:type="dxa"/>
          </w:tcPr>
          <w:p w:rsidR="006C57E9" w:rsidRDefault="006C57E9" w:rsidP="00504C50">
            <w:pPr>
              <w:spacing w:after="12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Bénéfices et revenus</w:t>
            </w:r>
          </w:p>
        </w:tc>
        <w:tc>
          <w:tcPr>
            <w:tcW w:w="2693" w:type="dxa"/>
          </w:tcPr>
          <w:p w:rsidR="006C57E9" w:rsidRPr="00FD014D" w:rsidRDefault="006C57E9" w:rsidP="00504C50">
            <w:pPr>
              <w:spacing w:after="120"/>
              <w:jc w:val="center"/>
              <w:rPr>
                <w:b/>
                <w:iCs/>
              </w:rPr>
            </w:pPr>
            <w:r w:rsidRPr="00FD014D">
              <w:rPr>
                <w:b/>
                <w:iCs/>
              </w:rPr>
              <w:t>Ancienne disposition</w:t>
            </w:r>
          </w:p>
        </w:tc>
        <w:tc>
          <w:tcPr>
            <w:tcW w:w="3434" w:type="dxa"/>
          </w:tcPr>
          <w:p w:rsidR="006C57E9" w:rsidRPr="00FD014D" w:rsidRDefault="006C57E9" w:rsidP="00504C50">
            <w:pPr>
              <w:spacing w:after="120"/>
              <w:jc w:val="center"/>
              <w:rPr>
                <w:b/>
                <w:iCs/>
              </w:rPr>
            </w:pPr>
            <w:r w:rsidRPr="00FD014D">
              <w:rPr>
                <w:b/>
                <w:iCs/>
              </w:rPr>
              <w:t>Nouvelle disposition</w:t>
            </w:r>
          </w:p>
        </w:tc>
      </w:tr>
      <w:tr w:rsidR="006C57E9" w:rsidRPr="00FD014D" w:rsidTr="00504C50">
        <w:trPr>
          <w:cantSplit/>
        </w:trPr>
        <w:tc>
          <w:tcPr>
            <w:tcW w:w="2977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>Entreprise non encore entrée en exploitation, pendant les 3 premières années</w:t>
            </w:r>
          </w:p>
        </w:tc>
        <w:tc>
          <w:tcPr>
            <w:tcW w:w="2693" w:type="dxa"/>
          </w:tcPr>
          <w:p w:rsidR="006C57E9" w:rsidRPr="00FD014D" w:rsidRDefault="006C57E9" w:rsidP="00504C50">
            <w:pPr>
              <w:spacing w:after="120"/>
              <w:rPr>
                <w:bCs/>
                <w:iCs/>
              </w:rPr>
            </w:pPr>
            <w:r w:rsidRPr="00FD014D">
              <w:rPr>
                <w:bCs/>
                <w:iCs/>
              </w:rPr>
              <w:t>Pas de minimum</w:t>
            </w:r>
            <w:r>
              <w:rPr>
                <w:bCs/>
                <w:iCs/>
              </w:rPr>
              <w:t xml:space="preserve"> d’impôt</w:t>
            </w:r>
          </w:p>
        </w:tc>
        <w:tc>
          <w:tcPr>
            <w:tcW w:w="3434" w:type="dxa"/>
          </w:tcPr>
          <w:p w:rsidR="006C57E9" w:rsidRPr="00FD014D" w:rsidRDefault="006C57E9" w:rsidP="00504C50">
            <w:pPr>
              <w:spacing w:after="120"/>
              <w:rPr>
                <w:bCs/>
                <w:iCs/>
              </w:rPr>
            </w:pPr>
            <w:r w:rsidRPr="00FD014D">
              <w:rPr>
                <w:bCs/>
                <w:iCs/>
              </w:rPr>
              <w:t xml:space="preserve">Pas de </w:t>
            </w:r>
            <w:proofErr w:type="spellStart"/>
            <w:r w:rsidRPr="00FD014D">
              <w:rPr>
                <w:bCs/>
                <w:iCs/>
              </w:rPr>
              <w:t>minimum</w:t>
            </w:r>
            <w:r>
              <w:rPr>
                <w:bCs/>
                <w:iCs/>
              </w:rPr>
              <w:t>d’impôt</w:t>
            </w:r>
            <w:proofErr w:type="spellEnd"/>
          </w:p>
        </w:tc>
      </w:tr>
      <w:tr w:rsidR="006C57E9" w:rsidRPr="00FD014D" w:rsidTr="00504C50">
        <w:trPr>
          <w:cantSplit/>
        </w:trPr>
        <w:tc>
          <w:tcPr>
            <w:tcW w:w="2977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>Revenus de personne physique provenant du marché local</w:t>
            </w:r>
          </w:p>
        </w:tc>
        <w:tc>
          <w:tcPr>
            <w:tcW w:w="2693" w:type="dxa"/>
          </w:tcPr>
          <w:p w:rsidR="006C57E9" w:rsidRPr="00FD014D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bCs/>
                <w:lang w:eastAsia="en-US" w:bidi="ar-TN"/>
              </w:rPr>
            </w:pPr>
            <w:r w:rsidRPr="00FD014D">
              <w:rPr>
                <w:bCs/>
                <w:iCs/>
              </w:rPr>
              <w:t xml:space="preserve">0,1% </w:t>
            </w:r>
            <w:r w:rsidRPr="00FD014D">
              <w:rPr>
                <w:rFonts w:asciiTheme="majorBidi" w:eastAsiaTheme="minorHAnsi" w:hAnsiTheme="majorBidi" w:cstheme="majorBidi"/>
                <w:bCs/>
                <w:lang w:eastAsia="en-US" w:bidi="ar-TN"/>
              </w:rPr>
              <w:t>du chiffre d’affaires local TTC avec un minimum égal à 200 dinars.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rFonts w:asciiTheme="majorBidi" w:eastAsiaTheme="minorHAnsi" w:hAnsiTheme="majorBidi" w:cstheme="majorBidi"/>
                <w:bCs/>
                <w:lang w:eastAsia="en-US" w:bidi="ar-TN"/>
              </w:rPr>
              <w:t>100 dinars pour les entreprises en cessation d’activité ou qui ne réalisent pas de chiffre d’affaires.</w:t>
            </w:r>
          </w:p>
        </w:tc>
        <w:tc>
          <w:tcPr>
            <w:tcW w:w="3434" w:type="dxa"/>
          </w:tcPr>
          <w:p w:rsidR="006C57E9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bCs/>
                <w:lang w:eastAsia="en-US" w:bidi="ar-TN"/>
              </w:rPr>
            </w:pPr>
            <w:r w:rsidRPr="00FD014D">
              <w:rPr>
                <w:rFonts w:asciiTheme="majorBidi" w:eastAsiaTheme="minorHAnsi" w:hAnsiTheme="majorBidi" w:cstheme="majorBidi"/>
                <w:bCs/>
                <w:lang w:eastAsia="en-US" w:bidi="ar-TN"/>
              </w:rPr>
              <w:t>0,2% du chiffre d’affaires local TTC avec un minimum égal à 300 dinars même en absence de chiffre d’affaires</w:t>
            </w:r>
            <w:r>
              <w:rPr>
                <w:rFonts w:asciiTheme="majorBidi" w:eastAsiaTheme="minorHAnsi" w:hAnsiTheme="majorBidi" w:cstheme="majorBidi"/>
                <w:bCs/>
                <w:lang w:eastAsia="en-US" w:bidi="ar-TN"/>
              </w:rPr>
              <w:t>.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>
              <w:rPr>
                <w:rFonts w:asciiTheme="majorBidi" w:eastAsiaTheme="minorHAnsi" w:hAnsiTheme="majorBidi" w:cstheme="majorBidi"/>
                <w:bCs/>
                <w:lang w:eastAsia="en-US" w:bidi="ar-TN"/>
              </w:rPr>
              <w:t>Cette procédure est à appliquer à partir de la déclaration de 2013.</w:t>
            </w:r>
          </w:p>
        </w:tc>
      </w:tr>
      <w:tr w:rsidR="006C57E9" w:rsidRPr="00FD014D" w:rsidTr="00504C50">
        <w:trPr>
          <w:cantSplit/>
        </w:trPr>
        <w:tc>
          <w:tcPr>
            <w:tcW w:w="2977" w:type="dxa"/>
          </w:tcPr>
          <w:p w:rsidR="006C57E9" w:rsidRPr="00FD014D" w:rsidDel="009F3B32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 xml:space="preserve">Revenus de personne physique provenant du marché </w:t>
            </w:r>
            <w:proofErr w:type="spellStart"/>
            <w:r w:rsidRPr="00FD014D">
              <w:rPr>
                <w:bCs/>
                <w:iCs/>
              </w:rPr>
              <w:t>local</w:t>
            </w:r>
            <w:r>
              <w:rPr>
                <w:bCs/>
                <w:iCs/>
              </w:rPr>
              <w:t>réalisé</w:t>
            </w:r>
            <w:proofErr w:type="spellEnd"/>
            <w:r>
              <w:rPr>
                <w:bCs/>
                <w:iCs/>
              </w:rPr>
              <w:t xml:space="preserve"> de la commercialisation de </w:t>
            </w: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 xml:space="preserve">produits ou </w:t>
            </w:r>
            <w:r>
              <w:rPr>
                <w:rFonts w:asciiTheme="majorBidi" w:eastAsiaTheme="minorHAnsi" w:hAnsiTheme="majorBidi" w:cstheme="majorBidi"/>
                <w:lang w:eastAsia="en-US" w:bidi="ar-TN"/>
              </w:rPr>
              <w:t xml:space="preserve">de services soumis au régime de </w:t>
            </w: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 xml:space="preserve">l’homologation administrative des </w:t>
            </w:r>
            <w:proofErr w:type="spellStart"/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prixet</w:t>
            </w:r>
            <w:proofErr w:type="spellEnd"/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 xml:space="preserve"> dont la marge bénéficiaire brute ne dépasse pas 6%,</w:t>
            </w:r>
          </w:p>
        </w:tc>
        <w:tc>
          <w:tcPr>
            <w:tcW w:w="2693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>Pas de minimum</w:t>
            </w:r>
            <w:r>
              <w:rPr>
                <w:bCs/>
                <w:iCs/>
              </w:rPr>
              <w:t xml:space="preserve"> d’impôt</w:t>
            </w:r>
          </w:p>
        </w:tc>
        <w:tc>
          <w:tcPr>
            <w:tcW w:w="3434" w:type="dxa"/>
          </w:tcPr>
          <w:p w:rsidR="006C57E9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0,1% du chiffre d’affaires</w:t>
            </w:r>
            <w:r>
              <w:rPr>
                <w:rFonts w:asciiTheme="majorBidi" w:eastAsiaTheme="minorHAnsi" w:hAnsiTheme="majorBidi" w:cstheme="majorBidi"/>
                <w:lang w:eastAsia="en-US" w:bidi="ar-TN"/>
              </w:rPr>
              <w:t xml:space="preserve"> local </w:t>
            </w:r>
            <w:proofErr w:type="spellStart"/>
            <w:r>
              <w:rPr>
                <w:rFonts w:asciiTheme="majorBidi" w:eastAsiaTheme="minorHAnsi" w:hAnsiTheme="majorBidi" w:cstheme="majorBidi"/>
                <w:lang w:eastAsia="en-US" w:bidi="ar-TN"/>
              </w:rPr>
              <w:t>TTC</w:t>
            </w: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avec</w:t>
            </w:r>
            <w:proofErr w:type="spellEnd"/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 xml:space="preserve"> un minimum égal à 200 dinars exigible même en cas de non réalisation de chiffre d’affaires.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bCs/>
                <w:lang w:eastAsia="en-US" w:bidi="ar-TN"/>
              </w:rPr>
            </w:pPr>
            <w:r>
              <w:rPr>
                <w:rFonts w:asciiTheme="majorBidi" w:eastAsiaTheme="minorHAnsi" w:hAnsiTheme="majorBidi" w:cstheme="majorBidi"/>
                <w:lang w:eastAsia="en-US" w:bidi="ar-TN"/>
              </w:rPr>
              <w:t>Ces dispositions sont à appliquer à partir de la déclaration de 2014.</w:t>
            </w:r>
          </w:p>
        </w:tc>
      </w:tr>
      <w:tr w:rsidR="006C57E9" w:rsidRPr="00FD014D" w:rsidTr="00504C50">
        <w:trPr>
          <w:cantSplit/>
        </w:trPr>
        <w:tc>
          <w:tcPr>
            <w:tcW w:w="2977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>Revenus de personne physique provenant du marché à l’export</w:t>
            </w:r>
          </w:p>
        </w:tc>
        <w:tc>
          <w:tcPr>
            <w:tcW w:w="2693" w:type="dxa"/>
          </w:tcPr>
          <w:p w:rsidR="006C57E9" w:rsidRPr="00FD014D" w:rsidRDefault="006C57E9" w:rsidP="00504C50">
            <w:pPr>
              <w:spacing w:after="120"/>
              <w:rPr>
                <w:bCs/>
                <w:iCs/>
              </w:rPr>
            </w:pPr>
            <w:r w:rsidRPr="00FD014D">
              <w:rPr>
                <w:bCs/>
                <w:iCs/>
              </w:rPr>
              <w:t>Pas de minimum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d’impôt</w:t>
            </w:r>
          </w:p>
        </w:tc>
        <w:tc>
          <w:tcPr>
            <w:tcW w:w="3434" w:type="dxa"/>
          </w:tcPr>
          <w:p w:rsidR="006C57E9" w:rsidRPr="00FD014D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0,1% du chiffre d’affaires :</w:t>
            </w:r>
          </w:p>
          <w:p w:rsidR="006C57E9" w:rsidRDefault="006C57E9" w:rsidP="006C57E9">
            <w:pPr>
              <w:pStyle w:val="Paragraphedeliste"/>
              <w:numPr>
                <w:ilvl w:val="0"/>
                <w:numId w:val="1"/>
              </w:numPr>
              <w:spacing w:after="120"/>
              <w:ind w:left="175" w:hanging="175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provenant de l’exportation ; et</w:t>
            </w:r>
          </w:p>
          <w:p w:rsidR="006C57E9" w:rsidRPr="009F3B32" w:rsidRDefault="006C57E9" w:rsidP="006C57E9">
            <w:pPr>
              <w:pStyle w:val="Paragraphedeliste"/>
              <w:numPr>
                <w:ilvl w:val="0"/>
                <w:numId w:val="1"/>
              </w:numPr>
              <w:spacing w:after="120"/>
              <w:ind w:left="175" w:hanging="175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 w:rsidRPr="009F3B32">
              <w:rPr>
                <w:rFonts w:asciiTheme="majorBidi" w:eastAsiaTheme="minorHAnsi" w:hAnsiTheme="majorBidi" w:cstheme="majorBidi"/>
                <w:lang w:eastAsia="en-US" w:bidi="ar-TN"/>
              </w:rPr>
              <w:t>du chiffre d’affaires réalisé par les établissements de santé prêtant la totalité de leurs services au profit des non</w:t>
            </w:r>
            <w:r>
              <w:rPr>
                <w:rFonts w:asciiTheme="majorBidi" w:eastAsiaTheme="minorHAnsi" w:hAnsiTheme="majorBidi" w:cstheme="majorBidi"/>
                <w:lang w:eastAsia="en-US" w:bidi="ar-TN"/>
              </w:rPr>
              <w:t xml:space="preserve">-résidents, </w:t>
            </w:r>
          </w:p>
          <w:p w:rsidR="006C57E9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avec un minimum égal à 200 dinars exigible même en cas de non réalisation de chiffre d’affaires.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>
              <w:rPr>
                <w:rFonts w:asciiTheme="majorBidi" w:eastAsiaTheme="minorHAnsi" w:hAnsiTheme="majorBidi" w:cstheme="majorBidi"/>
                <w:lang w:eastAsia="en-US" w:bidi="ar-TN"/>
              </w:rPr>
              <w:t>Ces dispositions sont à appliquer à partir de la déclaration de 2014.</w:t>
            </w:r>
          </w:p>
        </w:tc>
      </w:tr>
      <w:tr w:rsidR="006C57E9" w:rsidRPr="00FD014D" w:rsidTr="00504C50">
        <w:trPr>
          <w:cantSplit/>
        </w:trPr>
        <w:tc>
          <w:tcPr>
            <w:tcW w:w="2977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>Bénéfice de société provenant du marché local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>(lorsque la société n’est pas soumise à l’impôt au taux de 10%)</w:t>
            </w:r>
          </w:p>
        </w:tc>
        <w:tc>
          <w:tcPr>
            <w:tcW w:w="2693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0.1% du chiffre d’affaires, avec un minimum égal à 3</w:t>
            </w:r>
            <w:r>
              <w:rPr>
                <w:rFonts w:asciiTheme="majorBidi" w:eastAsiaTheme="minorHAnsi" w:hAnsiTheme="majorBidi" w:cstheme="majorBidi"/>
                <w:lang w:eastAsia="en-US" w:bidi="ar-TN"/>
              </w:rPr>
              <w:t>5</w:t>
            </w: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0 dinars exigible même en cas de non réalisation de chiffre d’affaires.</w:t>
            </w:r>
          </w:p>
        </w:tc>
        <w:tc>
          <w:tcPr>
            <w:tcW w:w="3434" w:type="dxa"/>
          </w:tcPr>
          <w:p w:rsidR="006C57E9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0.2% du chiffre d’affaires local TTC avec un minimum égal à 500 dinars exigible même en cas de non réalisation du chiffre d’affaires.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>
              <w:rPr>
                <w:rFonts w:asciiTheme="majorBidi" w:eastAsiaTheme="minorHAnsi" w:hAnsiTheme="majorBidi" w:cstheme="majorBidi"/>
                <w:bCs/>
                <w:lang w:eastAsia="en-US" w:bidi="ar-TN"/>
              </w:rPr>
              <w:t>Cette procédure est à appliquer à partir de la déclaration de 2013.</w:t>
            </w:r>
          </w:p>
        </w:tc>
      </w:tr>
      <w:tr w:rsidR="006C57E9" w:rsidRPr="00FD014D" w:rsidTr="00504C50">
        <w:trPr>
          <w:cantSplit/>
        </w:trPr>
        <w:tc>
          <w:tcPr>
            <w:tcW w:w="2977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lastRenderedPageBreak/>
              <w:t>Bénéfice de société provenant du marché local :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 xml:space="preserve">- lorsque la société est soumise à l’impôt au taux de 10% ; ou 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bCs/>
                <w:iCs/>
              </w:rPr>
              <w:t xml:space="preserve">- </w:t>
            </w: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le chiffre d’affaires réalisé de la commercialisation de produits ou de services soumis au régime de l’homologation administrative des prix et dont la marge bénéficiaire brute ne dépasse pas 6%</w:t>
            </w:r>
          </w:p>
        </w:tc>
        <w:tc>
          <w:tcPr>
            <w:tcW w:w="2693" w:type="dxa"/>
          </w:tcPr>
          <w:p w:rsidR="006C57E9" w:rsidRPr="00FD014D" w:rsidRDefault="006C57E9" w:rsidP="00504C50">
            <w:pPr>
              <w:spacing w:after="120"/>
              <w:jc w:val="both"/>
              <w:rPr>
                <w:bCs/>
                <w:iCs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 xml:space="preserve">0.1% du chiffre d’affaires, avec un minimum égal à </w:t>
            </w:r>
            <w:r>
              <w:rPr>
                <w:rFonts w:asciiTheme="majorBidi" w:eastAsiaTheme="minorHAnsi" w:hAnsiTheme="majorBidi" w:cstheme="majorBidi"/>
                <w:lang w:eastAsia="en-US" w:bidi="ar-TN"/>
              </w:rPr>
              <w:t>2</w:t>
            </w: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00 dinars exigible même en cas de non réalisation de chiffre d’affaires.</w:t>
            </w:r>
          </w:p>
        </w:tc>
        <w:tc>
          <w:tcPr>
            <w:tcW w:w="3434" w:type="dxa"/>
          </w:tcPr>
          <w:p w:rsidR="006C57E9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 w:rsidRPr="00FD014D">
              <w:rPr>
                <w:rFonts w:asciiTheme="majorBidi" w:eastAsiaTheme="minorHAnsi" w:hAnsiTheme="majorBidi" w:cstheme="majorBidi"/>
                <w:lang w:eastAsia="en-US" w:bidi="ar-TN"/>
              </w:rPr>
              <w:t>0.1% du chiffre d’affaires, avec un minimum égal à 300 dinars exigible même en cas de non réalisation de chiffre d’affaires.</w:t>
            </w:r>
          </w:p>
          <w:p w:rsidR="006C57E9" w:rsidRPr="00FD014D" w:rsidRDefault="006C57E9" w:rsidP="00504C50">
            <w:pPr>
              <w:spacing w:after="120"/>
              <w:jc w:val="both"/>
              <w:rPr>
                <w:rFonts w:asciiTheme="majorBidi" w:eastAsiaTheme="minorHAnsi" w:hAnsiTheme="majorBidi" w:cstheme="majorBidi"/>
                <w:lang w:eastAsia="en-US" w:bidi="ar-TN"/>
              </w:rPr>
            </w:pPr>
            <w:r>
              <w:rPr>
                <w:rFonts w:asciiTheme="majorBidi" w:eastAsiaTheme="minorHAnsi" w:hAnsiTheme="majorBidi" w:cstheme="majorBidi"/>
                <w:lang w:eastAsia="en-US" w:bidi="ar-TN"/>
              </w:rPr>
              <w:t>Ces dispositions sont à appliquer à partir de la déclaration de 2014.</w:t>
            </w:r>
          </w:p>
        </w:tc>
      </w:tr>
    </w:tbl>
    <w:p w:rsidR="00C713D5" w:rsidRDefault="00C713D5"/>
    <w:sectPr w:rsidR="00C713D5" w:rsidSect="00C7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1392"/>
    <w:multiLevelType w:val="hybridMultilevel"/>
    <w:tmpl w:val="7AD4A42E"/>
    <w:lvl w:ilvl="0" w:tplc="45680F04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C57E9"/>
    <w:rsid w:val="006C57E9"/>
    <w:rsid w:val="00C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7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5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2014-01-09T09:46:00Z</dcterms:created>
  <dcterms:modified xsi:type="dcterms:W3CDTF">2014-01-09T09:47:00Z</dcterms:modified>
</cp:coreProperties>
</file>